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C6966EF" w:rsidR="00D57C8E" w:rsidRPr="00467AC1" w:rsidRDefault="00D57C8E" w:rsidP="005C78AB">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5C78AB">
              <w:rPr>
                <w:rFonts w:ascii="Arial" w:hAnsi="Arial" w:cs="Arial"/>
                <w:b/>
                <w:sz w:val="24"/>
                <w:lang w:val="en-US"/>
              </w:rPr>
              <w:t>6</w:t>
            </w:r>
            <w:r w:rsidR="00467AC1" w:rsidRPr="00467AC1">
              <w:rPr>
                <w:rFonts w:ascii="Arial" w:hAnsi="Arial" w:cs="Arial"/>
                <w:b/>
                <w:sz w:val="24"/>
                <w:lang w:val="en-US"/>
              </w:rPr>
              <w:t>B00</w:t>
            </w:r>
            <w:r w:rsidR="005C78AB">
              <w:rPr>
                <w:rFonts w:ascii="Arial" w:hAnsi="Arial" w:cs="Arial"/>
                <w:b/>
                <w:sz w:val="24"/>
                <w:lang w:val="en-US"/>
              </w:rPr>
              <w:t>119</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260E4B88" w14:textId="6BFA5DD9" w:rsidR="005C78AB" w:rsidRDefault="00D57C8E" w:rsidP="0055383D">
            <w:pPr>
              <w:spacing w:before="60" w:after="60"/>
              <w:rPr>
                <w:rFonts w:ascii="Arial" w:hAnsi="Arial" w:cs="Arial"/>
                <w:b/>
              </w:rPr>
            </w:pPr>
            <w:r w:rsidRPr="00EE2373">
              <w:rPr>
                <w:rFonts w:ascii="Arial" w:hAnsi="Arial" w:cs="Arial"/>
                <w:b/>
              </w:rPr>
              <w:t>Date de lancement de la procédure :</w:t>
            </w:r>
            <w:r w:rsidR="00E95FBA">
              <w:rPr>
                <w:rFonts w:ascii="Arial" w:hAnsi="Arial" w:cs="Arial"/>
                <w:b/>
              </w:rPr>
              <w:t xml:space="preserve"> 24 février 2026</w:t>
            </w:r>
            <w:bookmarkStart w:id="0" w:name="_GoBack"/>
            <w:bookmarkEnd w:id="0"/>
          </w:p>
          <w:p w14:paraId="549C0920" w14:textId="33344FD4" w:rsidR="00D57C8E" w:rsidRPr="00EE2373" w:rsidRDefault="00D57C8E" w:rsidP="0055383D">
            <w:pPr>
              <w:spacing w:before="60" w:after="60"/>
              <w:rPr>
                <w:rFonts w:ascii="Arial" w:hAnsi="Arial" w:cs="Arial"/>
                <w:b/>
              </w:rPr>
            </w:pP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8E736A7" w14:textId="77777777" w:rsidR="005C78AB" w:rsidRPr="005C78AB" w:rsidRDefault="00D57C8E" w:rsidP="005C78AB">
            <w:pPr>
              <w:spacing w:before="60" w:after="60"/>
              <w:rPr>
                <w:rFonts w:ascii="Arial" w:hAnsi="Arial" w:cs="Arial"/>
                <w:b/>
              </w:rPr>
            </w:pPr>
            <w:r w:rsidRPr="00EE2373">
              <w:rPr>
                <w:rFonts w:ascii="Arial" w:hAnsi="Arial" w:cs="Arial"/>
                <w:b/>
              </w:rPr>
              <w:t>Objet</w:t>
            </w:r>
            <w:r w:rsidR="001D1F7B">
              <w:rPr>
                <w:rFonts w:ascii="Arial" w:hAnsi="Arial" w:cs="Arial"/>
                <w:b/>
              </w:rPr>
              <w:t xml:space="preserve"> : </w:t>
            </w:r>
            <w:r w:rsidR="005C78AB" w:rsidRPr="005C78AB">
              <w:rPr>
                <w:rFonts w:ascii="Arial" w:hAnsi="Arial" w:cs="Arial"/>
                <w:b/>
              </w:rPr>
              <w:t>Fourniture en sondes de profondeur au profit de la Marine nationale.</w:t>
            </w:r>
          </w:p>
          <w:p w14:paraId="7E8718D2" w14:textId="4A6B949B" w:rsidR="00D57C8E" w:rsidRPr="00EE2373" w:rsidRDefault="00D57C8E" w:rsidP="005C78AB">
            <w:pPr>
              <w:spacing w:before="60" w:after="60"/>
              <w:rPr>
                <w:rFonts w:ascii="Arial" w:hAnsi="Arial" w:cs="Arial"/>
                <w:b/>
              </w:rPr>
            </w:pP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82A191E" w:rsidR="005A16B4" w:rsidRPr="00EE2373" w:rsidRDefault="005C78AB" w:rsidP="00411842">
            <w:pPr>
              <w:spacing w:before="40"/>
              <w:jc w:val="center"/>
              <w:rPr>
                <w:rFonts w:ascii="Arial" w:hAnsi="Arial" w:cs="Arial"/>
                <w:b/>
                <w:bCs/>
              </w:rPr>
            </w:pPr>
            <w:r>
              <w:rPr>
                <w:rFonts w:ascii="Arial" w:hAnsi="Arial" w:cs="Arial"/>
                <w:b/>
                <w:bCs/>
              </w:rPr>
              <w:t>4730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411842"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 cahier des Clauses Techniques Particulières (C.C.T.P.) (et ses annexes éventuelles) contenant les exigences techniques (document joint) N° DSSFB/</w:t>
      </w:r>
      <w:r w:rsidR="00582D3B" w:rsidRPr="00411842">
        <w:rPr>
          <w:rFonts w:ascii="Arial" w:hAnsi="Arial" w:cs="Arial"/>
          <w:caps w:val="0"/>
          <w:dstrike w:val="0"/>
          <w:szCs w:val="22"/>
        </w:rPr>
        <w:t>SDLOG/0260/</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88E7C63"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5C78AB">
        <w:rPr>
          <w:rFonts w:cs="Arial"/>
          <w:sz w:val="22"/>
          <w:szCs w:val="22"/>
          <w:lang w:val="fr-FR"/>
        </w:rPr>
        <w:t>e</w:t>
      </w:r>
      <w:r w:rsidR="00411842">
        <w:rPr>
          <w:rFonts w:cs="Arial"/>
          <w:sz w:val="22"/>
          <w:szCs w:val="22"/>
          <w:lang w:val="fr-FR"/>
        </w:rPr>
        <w:t xml:space="preserve"> </w:t>
      </w:r>
      <w:r w:rsidR="005C78AB">
        <w:rPr>
          <w:rFonts w:cs="Arial"/>
          <w:b/>
          <w:color w:val="0070C0"/>
          <w:sz w:val="22"/>
          <w:szCs w:val="22"/>
          <w:lang w:val="fr-FR"/>
        </w:rPr>
        <w:t>février</w:t>
      </w:r>
      <w:r w:rsidR="00411842" w:rsidRPr="006F0BC3">
        <w:rPr>
          <w:rFonts w:cs="Arial"/>
          <w:b/>
          <w:color w:val="0070C0"/>
          <w:sz w:val="22"/>
          <w:szCs w:val="22"/>
          <w:lang w:val="fr-FR"/>
        </w:rPr>
        <w:t xml:space="preserve"> </w:t>
      </w:r>
      <w:r w:rsidR="00993040" w:rsidRPr="006F0BC3">
        <w:rPr>
          <w:rFonts w:cs="Arial"/>
          <w:b/>
          <w:color w:val="0070C0"/>
          <w:sz w:val="22"/>
          <w:szCs w:val="22"/>
          <w:lang w:val="fr-FR"/>
        </w:rPr>
        <w:t>202</w:t>
      </w:r>
      <w:r w:rsidR="005C78AB">
        <w:rPr>
          <w:rFonts w:cs="Arial"/>
          <w:b/>
          <w:color w:val="0070C0"/>
          <w:sz w:val="22"/>
          <w:szCs w:val="22"/>
          <w:lang w:val="fr-FR"/>
        </w:rPr>
        <w:t>6</w:t>
      </w:r>
      <w:r w:rsidR="00456A5E" w:rsidRPr="006F0BC3">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49AF65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075E6227"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9" o:title=""/>
          </v:shape>
          <o:OLEObject Type="Embed" ProgID="Equation.3" ShapeID="_x0000_i1029" DrawAspect="Content" ObjectID="_1833449453"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AD082DF"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5C78AB">
      <w:rPr>
        <w:rStyle w:val="Numrodepage"/>
      </w:rPr>
      <w:t>6</w:t>
    </w:r>
    <w:r w:rsidR="00467AC1">
      <w:rPr>
        <w:rStyle w:val="Numrodepage"/>
      </w:rPr>
      <w:t>B00</w:t>
    </w:r>
    <w:r w:rsidR="005C78AB">
      <w:rPr>
        <w:rStyle w:val="Numrodepage"/>
      </w:rPr>
      <w:t>119</w:t>
    </w:r>
    <w:r w:rsidR="00467AC1">
      <w:rPr>
        <w:rStyle w:val="Numrodepage"/>
      </w:rPr>
      <w:t>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95FBA">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95FBA">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5C78AB">
      <w:rPr>
        <w:rStyle w:val="Numrodepage"/>
        <w:i/>
        <w:iCs/>
        <w:noProof/>
        <w:sz w:val="16"/>
        <w:szCs w:val="16"/>
      </w:rPr>
      <w:t>24/2</w:t>
    </w:r>
    <w:r w:rsidR="00262746">
      <w:rPr>
        <w:rStyle w:val="Numrodepage"/>
        <w:i/>
        <w:iCs/>
        <w:noProof/>
        <w:sz w:val="16"/>
        <w:szCs w:val="16"/>
      </w:rPr>
      <w:t>4</w:t>
    </w:r>
    <w:r w:rsidR="005C78AB">
      <w:rPr>
        <w:rStyle w:val="Numrodepage"/>
        <w:i/>
        <w:iCs/>
        <w:noProof/>
        <w:sz w:val="16"/>
        <w:szCs w:val="16"/>
      </w:rPr>
      <w:t>/2026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C78AB"/>
    <w:rsid w:val="005D2FDA"/>
    <w:rsid w:val="005E27B5"/>
    <w:rsid w:val="005E2F4F"/>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5FBA"/>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67804115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BD0D1-323E-49C7-9E0F-B00F4AB1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3747</Words>
  <Characters>20573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24272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31</cp:revision>
  <cp:lastPrinted>2024-10-07T14:28:00Z</cp:lastPrinted>
  <dcterms:created xsi:type="dcterms:W3CDTF">2024-06-14T13:12:00Z</dcterms:created>
  <dcterms:modified xsi:type="dcterms:W3CDTF">2026-02-24T13:44:00Z</dcterms:modified>
</cp:coreProperties>
</file>